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5799" w:rsidRPr="00446F9D" w:rsidRDefault="00FE5799" w:rsidP="00FE5799">
      <w:pPr>
        <w:pStyle w:val="Header"/>
        <w:tabs>
          <w:tab w:val="clear" w:pos="4536"/>
        </w:tabs>
        <w:rPr>
          <w:i/>
        </w:rPr>
      </w:pPr>
      <w:r w:rsidRPr="00446F9D">
        <w:t>TSG-RAN WG1 #</w:t>
      </w:r>
      <w:r>
        <w:t>84bis</w:t>
      </w:r>
      <w:r w:rsidRPr="00446F9D">
        <w:tab/>
        <w:t>R1-</w:t>
      </w:r>
      <w:r>
        <w:t>16</w:t>
      </w:r>
      <w:r w:rsidR="000179AE">
        <w:t>3253</w:t>
      </w:r>
      <w:bookmarkStart w:id="0" w:name="_GoBack"/>
      <w:bookmarkEnd w:id="0"/>
    </w:p>
    <w:p w:rsidR="00FE5799" w:rsidRPr="000833FA" w:rsidRDefault="00FE5799" w:rsidP="00FE5799">
      <w:pPr>
        <w:pStyle w:val="Header"/>
        <w:rPr>
          <w:color w:val="000000"/>
        </w:rPr>
      </w:pPr>
      <w:r>
        <w:t>Busan</w:t>
      </w:r>
      <w:r w:rsidRPr="000833FA">
        <w:t xml:space="preserve">, </w:t>
      </w:r>
      <w:r>
        <w:t>South Korea</w:t>
      </w:r>
      <w:r w:rsidRPr="000833FA">
        <w:t>,</w:t>
      </w:r>
      <w:r>
        <w:t xml:space="preserve"> April 11 – 15, 2016</w:t>
      </w:r>
    </w:p>
    <w:p w:rsidR="00FE5799" w:rsidRPr="000833FA" w:rsidRDefault="00FE5799" w:rsidP="00FE5799">
      <w:pPr>
        <w:pStyle w:val="Header"/>
      </w:pPr>
    </w:p>
    <w:p w:rsidR="00FE5799" w:rsidRPr="00BA584E" w:rsidRDefault="00FE5799" w:rsidP="00FE5799">
      <w:pPr>
        <w:pStyle w:val="Header"/>
        <w:tabs>
          <w:tab w:val="clear" w:pos="4536"/>
          <w:tab w:val="left" w:pos="1800"/>
        </w:tabs>
        <w:ind w:left="1800" w:hanging="1800"/>
        <w:rPr>
          <w:sz w:val="18"/>
          <w:szCs w:val="18"/>
        </w:rPr>
      </w:pPr>
      <w:r w:rsidRPr="00BA584E">
        <w:rPr>
          <w:sz w:val="18"/>
          <w:szCs w:val="18"/>
        </w:rPr>
        <w:t>Source:</w:t>
      </w:r>
      <w:r w:rsidRPr="00BA584E">
        <w:rPr>
          <w:sz w:val="18"/>
          <w:szCs w:val="18"/>
        </w:rPr>
        <w:tab/>
        <w:t>Ericsson</w:t>
      </w:r>
    </w:p>
    <w:p w:rsidR="00FE5799" w:rsidRPr="00BA584E" w:rsidRDefault="00FE5799" w:rsidP="00FE5799">
      <w:pPr>
        <w:pStyle w:val="Header"/>
        <w:tabs>
          <w:tab w:val="clear" w:pos="4536"/>
          <w:tab w:val="left" w:pos="1800"/>
        </w:tabs>
        <w:rPr>
          <w:sz w:val="18"/>
          <w:szCs w:val="18"/>
        </w:rPr>
      </w:pPr>
      <w:r w:rsidRPr="00BA584E">
        <w:rPr>
          <w:sz w:val="18"/>
          <w:szCs w:val="18"/>
        </w:rPr>
        <w:t>Title:</w:t>
      </w:r>
      <w:bookmarkStart w:id="1" w:name="Title"/>
      <w:bookmarkEnd w:id="1"/>
      <w:r w:rsidRPr="00BA584E">
        <w:rPr>
          <w:sz w:val="18"/>
          <w:szCs w:val="18"/>
        </w:rPr>
        <w:tab/>
      </w:r>
      <w:r w:rsidR="00E232CF" w:rsidRPr="00BA584E">
        <w:rPr>
          <w:sz w:val="18"/>
          <w:szCs w:val="18"/>
        </w:rPr>
        <w:t>On the frequency dependence of LSPs</w:t>
      </w:r>
      <w:r w:rsidR="00BA584E" w:rsidRPr="00BA584E">
        <w:rPr>
          <w:sz w:val="18"/>
          <w:szCs w:val="18"/>
        </w:rPr>
        <w:t xml:space="preserve"> in reported UMi and InH measurements</w:t>
      </w:r>
    </w:p>
    <w:p w:rsidR="00FE5799" w:rsidRPr="00BA584E" w:rsidRDefault="00FE5799" w:rsidP="00FE5799">
      <w:pPr>
        <w:pStyle w:val="Header"/>
        <w:tabs>
          <w:tab w:val="left" w:pos="1800"/>
        </w:tabs>
        <w:rPr>
          <w:sz w:val="18"/>
          <w:szCs w:val="18"/>
        </w:rPr>
      </w:pPr>
      <w:r w:rsidRPr="00BA584E">
        <w:rPr>
          <w:sz w:val="18"/>
          <w:szCs w:val="18"/>
        </w:rPr>
        <w:t>Agenda Item:</w:t>
      </w:r>
      <w:bookmarkStart w:id="2" w:name="Source"/>
      <w:bookmarkEnd w:id="2"/>
      <w:r w:rsidRPr="00BA584E">
        <w:rPr>
          <w:sz w:val="18"/>
          <w:szCs w:val="18"/>
        </w:rPr>
        <w:tab/>
      </w:r>
      <w:r w:rsidR="003C16E9" w:rsidRPr="00BA584E">
        <w:rPr>
          <w:sz w:val="18"/>
          <w:szCs w:val="18"/>
        </w:rPr>
        <w:t>8</w:t>
      </w:r>
      <w:r w:rsidR="00E232CF" w:rsidRPr="00BA584E">
        <w:rPr>
          <w:sz w:val="18"/>
          <w:szCs w:val="18"/>
        </w:rPr>
        <w:t>.</w:t>
      </w:r>
      <w:r w:rsidR="003C16E9" w:rsidRPr="00BA584E">
        <w:rPr>
          <w:sz w:val="18"/>
          <w:szCs w:val="18"/>
        </w:rPr>
        <w:t>2</w:t>
      </w:r>
      <w:r w:rsidR="00E232CF" w:rsidRPr="00BA584E">
        <w:rPr>
          <w:sz w:val="18"/>
          <w:szCs w:val="18"/>
        </w:rPr>
        <w:t>.2</w:t>
      </w:r>
    </w:p>
    <w:p w:rsidR="00FE5799" w:rsidRPr="00BA584E" w:rsidRDefault="00FE5799" w:rsidP="00FE5799">
      <w:pPr>
        <w:pStyle w:val="Header"/>
        <w:tabs>
          <w:tab w:val="left" w:pos="1800"/>
        </w:tabs>
        <w:rPr>
          <w:sz w:val="18"/>
          <w:szCs w:val="18"/>
        </w:rPr>
      </w:pPr>
      <w:r w:rsidRPr="00BA584E">
        <w:rPr>
          <w:sz w:val="18"/>
          <w:szCs w:val="18"/>
        </w:rPr>
        <w:t>Document for:</w:t>
      </w:r>
      <w:r w:rsidRPr="00BA584E">
        <w:rPr>
          <w:sz w:val="18"/>
          <w:szCs w:val="18"/>
        </w:rPr>
        <w:tab/>
      </w:r>
      <w:bookmarkStart w:id="3" w:name="DocumentFor"/>
      <w:bookmarkEnd w:id="3"/>
      <w:r w:rsidRPr="00BA584E">
        <w:rPr>
          <w:sz w:val="18"/>
          <w:szCs w:val="18"/>
        </w:rPr>
        <w:t>Discussion and Decision</w:t>
      </w:r>
    </w:p>
    <w:p w:rsidR="00FE5799" w:rsidRPr="002100D2" w:rsidRDefault="00FE5799" w:rsidP="00FE5799">
      <w:pPr>
        <w:pBdr>
          <w:bottom w:val="single" w:sz="4" w:space="1" w:color="auto"/>
        </w:pBdr>
        <w:tabs>
          <w:tab w:val="left" w:pos="2552"/>
        </w:tabs>
      </w:pPr>
    </w:p>
    <w:p w:rsidR="004A3F44" w:rsidRDefault="001639B5" w:rsidP="004A3F44">
      <w:pPr>
        <w:pStyle w:val="Heading1"/>
      </w:pPr>
      <w:r>
        <w:t>Introduction</w:t>
      </w:r>
    </w:p>
    <w:p w:rsidR="001639B5" w:rsidRPr="004A619D" w:rsidRDefault="005040AE" w:rsidP="00A55C73">
      <w:pPr>
        <w:pStyle w:val="BodyText"/>
      </w:pPr>
      <w:r>
        <w:t xml:space="preserve">The channel dispersion in terms of delay and angular spread and the number of MPCs is a key element of the new channel model being developed. The topic of frequency dependence of these parameters is subject to some different views but rather limited measurement availability. </w:t>
      </w:r>
      <w:r w:rsidR="003C16E9">
        <w:t xml:space="preserve">A good overview of the available LSP and SSP measurements for different frequency bands is given in </w:t>
      </w:r>
      <w:r w:rsidR="003C16E9">
        <w:fldChar w:fldCharType="begin"/>
      </w:r>
      <w:r w:rsidR="003C16E9">
        <w:instrText xml:space="preserve"> REF _Ref447198790 \r \h </w:instrText>
      </w:r>
      <w:r w:rsidR="003C16E9">
        <w:fldChar w:fldCharType="separate"/>
      </w:r>
      <w:r w:rsidR="003C16E9">
        <w:t>[1]</w:t>
      </w:r>
      <w:r w:rsidR="003C16E9">
        <w:fldChar w:fldCharType="end"/>
      </w:r>
      <w:r w:rsidR="003C16E9">
        <w:t xml:space="preserve">. These results have been used to derive and propose frequency-dependent modeling of e.g. angular and delay spreads in </w:t>
      </w:r>
      <w:r w:rsidR="003C16E9">
        <w:fldChar w:fldCharType="begin"/>
      </w:r>
      <w:r w:rsidR="003C16E9">
        <w:instrText xml:space="preserve"> REF _Ref447199057 \r \h </w:instrText>
      </w:r>
      <w:r w:rsidR="003C16E9">
        <w:fldChar w:fldCharType="separate"/>
      </w:r>
      <w:r w:rsidR="003C16E9">
        <w:t>[2]</w:t>
      </w:r>
      <w:r w:rsidR="003C16E9">
        <w:fldChar w:fldCharType="end"/>
      </w:r>
      <w:r w:rsidR="003C16E9">
        <w:t xml:space="preserve"> and </w:t>
      </w:r>
      <w:r w:rsidR="003C16E9">
        <w:fldChar w:fldCharType="begin"/>
      </w:r>
      <w:r w:rsidR="003C16E9">
        <w:instrText xml:space="preserve"> REF _Ref447199060 \r \h </w:instrText>
      </w:r>
      <w:r w:rsidR="003C16E9">
        <w:fldChar w:fldCharType="separate"/>
      </w:r>
      <w:r w:rsidR="003C16E9">
        <w:t>[3]</w:t>
      </w:r>
      <w:r w:rsidR="003C16E9">
        <w:fldChar w:fldCharType="end"/>
      </w:r>
      <w:r w:rsidR="003C16E9">
        <w:t xml:space="preserve">. In this contribution we take a closer look at the measurements reported in to determine to what extent the frequency-dependence is supported by individual measurements </w:t>
      </w:r>
      <w:r w:rsidR="003C16E9">
        <w:fldChar w:fldCharType="begin"/>
      </w:r>
      <w:r w:rsidR="003C16E9">
        <w:instrText xml:space="preserve"> REF _Ref447198790 \r \h </w:instrText>
      </w:r>
      <w:r w:rsidR="003C16E9">
        <w:fldChar w:fldCharType="separate"/>
      </w:r>
      <w:r w:rsidR="003C16E9">
        <w:t>[1]</w:t>
      </w:r>
      <w:r w:rsidR="003C16E9">
        <w:fldChar w:fldCharType="end"/>
      </w:r>
      <w:r>
        <w:t xml:space="preserve">. </w:t>
      </w:r>
      <w:r w:rsidR="00545EFB">
        <w:t>Ray-tracing is excluded since the validity of ray-tracing for determining frequency-dependent trends has not yet been established through comparison with measurements.</w:t>
      </w:r>
    </w:p>
    <w:p w:rsidR="004A3F44" w:rsidRDefault="003C16E9" w:rsidP="004A619D">
      <w:pPr>
        <w:pStyle w:val="Heading1"/>
      </w:pPr>
      <w:r>
        <w:rPr>
          <w:lang w:val="en-GB"/>
        </w:rPr>
        <w:t>UMi measurement results and frequency-dependent trends</w:t>
      </w:r>
    </w:p>
    <w:p w:rsidR="003C16E9" w:rsidRDefault="00545EFB" w:rsidP="00F062F2">
      <w:pPr>
        <w:pStyle w:val="BodyText"/>
      </w:pPr>
      <w:r>
        <w:t xml:space="preserve">The UMI NLOS rms delay spread measurements from Table 15 in </w:t>
      </w:r>
      <w:r>
        <w:fldChar w:fldCharType="begin"/>
      </w:r>
      <w:r>
        <w:instrText xml:space="preserve"> REF _Ref447198790 \r \h </w:instrText>
      </w:r>
      <w:r>
        <w:fldChar w:fldCharType="separate"/>
      </w:r>
      <w:r>
        <w:t>[1]</w:t>
      </w:r>
      <w:r>
        <w:fldChar w:fldCharType="end"/>
      </w:r>
      <w:r>
        <w:t xml:space="preserve"> are summarized in </w:t>
      </w:r>
      <w:r>
        <w:fldChar w:fldCharType="begin"/>
      </w:r>
      <w:r>
        <w:instrText xml:space="preserve"> REF _Ref447199812 \h </w:instrText>
      </w:r>
      <w:r>
        <w:fldChar w:fldCharType="separate"/>
      </w:r>
      <w:r>
        <w:t xml:space="preserve">Figure </w:t>
      </w:r>
      <w:r>
        <w:rPr>
          <w:noProof/>
        </w:rPr>
        <w:t>1</w:t>
      </w:r>
      <w:r>
        <w:fldChar w:fldCharType="end"/>
      </w:r>
      <w:r>
        <w:t xml:space="preserve">. Measurements from the same source are connected by solid lines. As discussed in </w:t>
      </w:r>
      <w:r>
        <w:fldChar w:fldCharType="begin"/>
      </w:r>
      <w:r>
        <w:instrText xml:space="preserve"> REF _Ref447200128 \r \h </w:instrText>
      </w:r>
      <w:r>
        <w:fldChar w:fldCharType="separate"/>
      </w:r>
      <w:r>
        <w:t>[5]</w:t>
      </w:r>
      <w:r>
        <w:fldChar w:fldCharType="end"/>
      </w:r>
      <w:r>
        <w:t>, for comparability purposes it is important that the measurements at the two frequencies are performed under as similar conditions as possible and that the post-processing is identical. The Ericsson measurements</w:t>
      </w:r>
      <w:r w:rsidR="00E30C40">
        <w:t xml:space="preserve">, reported in more detail in </w:t>
      </w:r>
      <w:r w:rsidR="00E30C40">
        <w:fldChar w:fldCharType="begin"/>
      </w:r>
      <w:r w:rsidR="00E30C40">
        <w:instrText xml:space="preserve"> REF _Ref446082284 \r \h </w:instrText>
      </w:r>
      <w:r w:rsidR="00E30C40">
        <w:fldChar w:fldCharType="separate"/>
      </w:r>
      <w:r w:rsidR="00E30C40">
        <w:t>[6]</w:t>
      </w:r>
      <w:r w:rsidR="00E30C40">
        <w:fldChar w:fldCharType="end"/>
      </w:r>
      <w:r w:rsidR="00E30C40">
        <w:t>,</w:t>
      </w:r>
      <w:r>
        <w:t xml:space="preserve"> meet these requirements in most respects except for the locations which have a different distribution in distance</w:t>
      </w:r>
      <w:r w:rsidR="00E30C40">
        <w:t xml:space="preserve"> for the different frequencies. If the comparison is made over the same distance interval the frequency dependence all but disappear in these measurements, as further discussed in </w:t>
      </w:r>
      <w:r w:rsidR="00E30C40">
        <w:fldChar w:fldCharType="begin"/>
      </w:r>
      <w:r w:rsidR="00E30C40">
        <w:instrText xml:space="preserve"> REF _Ref446082284 \r \h </w:instrText>
      </w:r>
      <w:r w:rsidR="00E30C40">
        <w:fldChar w:fldCharType="separate"/>
      </w:r>
      <w:r w:rsidR="00E30C40">
        <w:t>[6]</w:t>
      </w:r>
      <w:r w:rsidR="00E30C40">
        <w:fldChar w:fldCharType="end"/>
      </w:r>
      <w:r w:rsidR="00E30C40">
        <w:t xml:space="preserve">. To what extent the other measurements fulfill these requirements is unknown. </w:t>
      </w:r>
    </w:p>
    <w:p w:rsidR="00545EFB" w:rsidRDefault="00545EFB" w:rsidP="00F062F2">
      <w:pPr>
        <w:pStyle w:val="BodyText"/>
      </w:pPr>
      <w:r w:rsidRPr="00545EFB">
        <w:rPr>
          <w:noProof/>
        </w:rPr>
        <w:drawing>
          <wp:inline distT="0" distB="0" distL="0" distR="0" wp14:anchorId="31EF4D30" wp14:editId="4470EFBF">
            <wp:extent cx="5760720" cy="478018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760720" cy="4780185"/>
                    </a:xfrm>
                    <a:prstGeom prst="rect">
                      <a:avLst/>
                    </a:prstGeom>
                  </pic:spPr>
                </pic:pic>
              </a:graphicData>
            </a:graphic>
          </wp:inline>
        </w:drawing>
      </w:r>
    </w:p>
    <w:p w:rsidR="00545EFB" w:rsidRDefault="00545EFB" w:rsidP="00545EFB">
      <w:pPr>
        <w:pStyle w:val="Caption"/>
      </w:pPr>
      <w:bookmarkStart w:id="4" w:name="_Ref447199812"/>
      <w:r>
        <w:lastRenderedPageBreak/>
        <w:t xml:space="preserve">Figure </w:t>
      </w:r>
      <w:r>
        <w:fldChar w:fldCharType="begin"/>
      </w:r>
      <w:r>
        <w:instrText xml:space="preserve"> SEQ Figure \* ARABIC </w:instrText>
      </w:r>
      <w:r>
        <w:fldChar w:fldCharType="separate"/>
      </w:r>
      <w:r w:rsidR="00DD190D">
        <w:rPr>
          <w:noProof/>
        </w:rPr>
        <w:t>1</w:t>
      </w:r>
      <w:r>
        <w:fldChar w:fldCharType="end"/>
      </w:r>
      <w:bookmarkEnd w:id="4"/>
      <w:r>
        <w:t xml:space="preserve"> Median NLOS rms delay spread measurements from the UMi measurements in </w:t>
      </w:r>
      <w:r>
        <w:fldChar w:fldCharType="begin"/>
      </w:r>
      <w:r>
        <w:instrText xml:space="preserve"> REF _Ref447198790 \r \h </w:instrText>
      </w:r>
      <w:r>
        <w:fldChar w:fldCharType="separate"/>
      </w:r>
      <w:r>
        <w:t>[1]</w:t>
      </w:r>
      <w:r>
        <w:fldChar w:fldCharType="end"/>
      </w:r>
      <w:r>
        <w:t xml:space="preserve">. For comparison the proposed frequency dependence from </w:t>
      </w:r>
      <w:r>
        <w:fldChar w:fldCharType="begin"/>
      </w:r>
      <w:r>
        <w:instrText xml:space="preserve"> REF _Ref447199057 \r \h </w:instrText>
      </w:r>
      <w:r>
        <w:fldChar w:fldCharType="separate"/>
      </w:r>
      <w:r>
        <w:t>[2]</w:t>
      </w:r>
      <w:r>
        <w:fldChar w:fldCharType="end"/>
      </w:r>
      <w:r>
        <w:t xml:space="preserve"> and the value from the 3D SCM model </w:t>
      </w:r>
      <w:r>
        <w:fldChar w:fldCharType="begin"/>
      </w:r>
      <w:r>
        <w:instrText xml:space="preserve"> REF _Ref447143493 \r \h </w:instrText>
      </w:r>
      <w:r>
        <w:fldChar w:fldCharType="separate"/>
      </w:r>
      <w:r>
        <w:t>[4]</w:t>
      </w:r>
      <w:r>
        <w:fldChar w:fldCharType="end"/>
      </w:r>
      <w:r>
        <w:t xml:space="preserve"> are shown. </w:t>
      </w:r>
    </w:p>
    <w:p w:rsidR="00E30C40" w:rsidRDefault="00E30C40" w:rsidP="00E30C40">
      <w:r>
        <w:t xml:space="preserve">From </w:t>
      </w:r>
      <w:r>
        <w:fldChar w:fldCharType="begin"/>
      </w:r>
      <w:r>
        <w:instrText xml:space="preserve"> REF _Ref447199812 \h </w:instrText>
      </w:r>
      <w:r>
        <w:fldChar w:fldCharType="separate"/>
      </w:r>
      <w:r>
        <w:t xml:space="preserve">Figure </w:t>
      </w:r>
      <w:r>
        <w:rPr>
          <w:noProof/>
        </w:rPr>
        <w:t>1</w:t>
      </w:r>
      <w:r>
        <w:fldChar w:fldCharType="end"/>
      </w:r>
      <w:r>
        <w:t xml:space="preserve"> one can get the impression that the rms delay spread is indeed frequency dependent, and simple curve fitting to all data points produces the blue curve that is proposed in </w:t>
      </w:r>
      <w:r>
        <w:fldChar w:fldCharType="begin"/>
      </w:r>
      <w:r>
        <w:instrText xml:space="preserve"> REF _Ref447198790 \r \h </w:instrText>
      </w:r>
      <w:r>
        <w:fldChar w:fldCharType="separate"/>
      </w:r>
      <w:r>
        <w:t>[1]</w:t>
      </w:r>
      <w:r>
        <w:fldChar w:fldCharType="end"/>
      </w:r>
      <w:r>
        <w:t>. However if one looks for this frequency dependence in individual measurements contributed by different companies it becomes evident that the trend is inconclusive with both increasing and decreasing trends</w:t>
      </w:r>
    </w:p>
    <w:p w:rsidR="00E30C40" w:rsidRDefault="00E30C40" w:rsidP="00E30C40"/>
    <w:p w:rsidR="00E30C40" w:rsidRDefault="00E30C40" w:rsidP="00E30C40">
      <w:pPr>
        <w:rPr>
          <w:b/>
        </w:rPr>
      </w:pPr>
      <w:r w:rsidRPr="00E30C40">
        <w:rPr>
          <w:b/>
        </w:rPr>
        <w:t>Observation</w:t>
      </w:r>
      <w:r w:rsidR="00651F6F">
        <w:rPr>
          <w:b/>
        </w:rPr>
        <w:t xml:space="preserve"> 1</w:t>
      </w:r>
      <w:r w:rsidRPr="00E30C40">
        <w:rPr>
          <w:b/>
        </w:rPr>
        <w:t xml:space="preserve">: Frequency-dependence of the delay spread is not obvious from individual </w:t>
      </w:r>
      <w:r>
        <w:rPr>
          <w:b/>
        </w:rPr>
        <w:t xml:space="preserve">UMi </w:t>
      </w:r>
      <w:r w:rsidRPr="00E30C40">
        <w:rPr>
          <w:b/>
        </w:rPr>
        <w:t xml:space="preserve">measurements, in particular not from those that meet the comparability requirements proposed in </w:t>
      </w:r>
      <w:r w:rsidRPr="00E30C40">
        <w:rPr>
          <w:b/>
        </w:rPr>
        <w:fldChar w:fldCharType="begin"/>
      </w:r>
      <w:r w:rsidRPr="00E30C40">
        <w:rPr>
          <w:b/>
        </w:rPr>
        <w:instrText xml:space="preserve"> REF _Ref447200128 \r \h </w:instrText>
      </w:r>
      <w:r>
        <w:rPr>
          <w:b/>
        </w:rPr>
        <w:instrText xml:space="preserve"> \* MERGEFORMAT </w:instrText>
      </w:r>
      <w:r w:rsidRPr="00E30C40">
        <w:rPr>
          <w:b/>
        </w:rPr>
      </w:r>
      <w:r w:rsidRPr="00E30C40">
        <w:rPr>
          <w:b/>
        </w:rPr>
        <w:fldChar w:fldCharType="separate"/>
      </w:r>
      <w:r w:rsidRPr="00E30C40">
        <w:rPr>
          <w:b/>
        </w:rPr>
        <w:t>[5]</w:t>
      </w:r>
      <w:r w:rsidRPr="00E30C40">
        <w:rPr>
          <w:b/>
        </w:rPr>
        <w:fldChar w:fldCharType="end"/>
      </w:r>
      <w:r w:rsidRPr="00E30C40">
        <w:rPr>
          <w:b/>
        </w:rPr>
        <w:t>.</w:t>
      </w:r>
    </w:p>
    <w:p w:rsidR="00E30C40" w:rsidRDefault="00E30C40" w:rsidP="00E30C40">
      <w:pPr>
        <w:pStyle w:val="Heading1"/>
        <w:rPr>
          <w:lang w:val="en-GB"/>
        </w:rPr>
      </w:pPr>
      <w:r>
        <w:rPr>
          <w:lang w:val="en-GB"/>
        </w:rPr>
        <w:t>InH measurement results and frequency-dependent trends</w:t>
      </w:r>
    </w:p>
    <w:p w:rsidR="00E30C40" w:rsidRDefault="00DD190D" w:rsidP="00E30C40">
      <w:pPr>
        <w:pStyle w:val="BodyText"/>
      </w:pPr>
      <w:r>
        <w:t xml:space="preserve">The UMI NLOS rms delay spread measurements from Table 15 in </w:t>
      </w:r>
      <w:r>
        <w:fldChar w:fldCharType="begin"/>
      </w:r>
      <w:r>
        <w:instrText xml:space="preserve"> REF _Ref447198790 \r \h </w:instrText>
      </w:r>
      <w:r>
        <w:fldChar w:fldCharType="separate"/>
      </w:r>
      <w:r>
        <w:t>[1]</w:t>
      </w:r>
      <w:r>
        <w:fldChar w:fldCharType="end"/>
      </w:r>
      <w:r>
        <w:t xml:space="preserve"> along with new measurement results from Ericsson </w:t>
      </w:r>
      <w:r>
        <w:fldChar w:fldCharType="begin"/>
      </w:r>
      <w:r>
        <w:instrText xml:space="preserve"> REF _Ref447201635 \r \h </w:instrText>
      </w:r>
      <w:r>
        <w:fldChar w:fldCharType="separate"/>
      </w:r>
      <w:r>
        <w:t>[7]</w:t>
      </w:r>
      <w:r>
        <w:fldChar w:fldCharType="end"/>
      </w:r>
      <w:r>
        <w:t xml:space="preserve"> are summarized in </w:t>
      </w:r>
      <w:r>
        <w:fldChar w:fldCharType="begin"/>
      </w:r>
      <w:r>
        <w:instrText xml:space="preserve"> REF _Ref447201821 \h </w:instrText>
      </w:r>
      <w:r>
        <w:fldChar w:fldCharType="separate"/>
      </w:r>
      <w:r>
        <w:t xml:space="preserve">Figure </w:t>
      </w:r>
      <w:r>
        <w:rPr>
          <w:noProof/>
        </w:rPr>
        <w:t>2</w:t>
      </w:r>
      <w:r>
        <w:fldChar w:fldCharType="end"/>
      </w:r>
      <w:r>
        <w:t xml:space="preserve">. </w:t>
      </w:r>
      <w:r w:rsidR="00651F6F">
        <w:t xml:space="preserve">The extent to which the individual measurements fulfill the requirements for comparability proposed in </w:t>
      </w:r>
      <w:r w:rsidR="00651F6F">
        <w:fldChar w:fldCharType="begin"/>
      </w:r>
      <w:r w:rsidR="00651F6F">
        <w:instrText xml:space="preserve"> REF _Ref447200128 \r \h </w:instrText>
      </w:r>
      <w:r w:rsidR="00651F6F">
        <w:fldChar w:fldCharType="separate"/>
      </w:r>
      <w:r w:rsidR="00651F6F">
        <w:t>[5]</w:t>
      </w:r>
      <w:r w:rsidR="00651F6F">
        <w:fldChar w:fldCharType="end"/>
      </w:r>
      <w:r w:rsidR="00651F6F">
        <w:t xml:space="preserve"> is generally unknown, however the new Ericsson measurements does almost fully do so. </w:t>
      </w:r>
    </w:p>
    <w:p w:rsidR="00DD190D" w:rsidRDefault="00DD190D" w:rsidP="00E30C40">
      <w:pPr>
        <w:pStyle w:val="BodyText"/>
      </w:pPr>
    </w:p>
    <w:p w:rsidR="00DD190D" w:rsidRDefault="00DD190D" w:rsidP="00E30C40">
      <w:pPr>
        <w:pStyle w:val="BodyText"/>
        <w:rPr>
          <w:lang w:val="en-GB"/>
        </w:rPr>
      </w:pPr>
      <w:r w:rsidRPr="00DD190D">
        <w:rPr>
          <w:noProof/>
        </w:rPr>
        <w:drawing>
          <wp:inline distT="0" distB="0" distL="0" distR="0" wp14:anchorId="7C03A90E" wp14:editId="33796676">
            <wp:extent cx="5759450" cy="4799338"/>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759450" cy="4799338"/>
                    </a:xfrm>
                    <a:prstGeom prst="rect">
                      <a:avLst/>
                    </a:prstGeom>
                  </pic:spPr>
                </pic:pic>
              </a:graphicData>
            </a:graphic>
          </wp:inline>
        </w:drawing>
      </w:r>
    </w:p>
    <w:p w:rsidR="00DD190D" w:rsidRDefault="00DD190D" w:rsidP="00DD190D">
      <w:pPr>
        <w:pStyle w:val="Caption"/>
      </w:pPr>
      <w:bookmarkStart w:id="5" w:name="_Ref447201821"/>
      <w:r>
        <w:t xml:space="preserve">Figure </w:t>
      </w:r>
      <w:r>
        <w:fldChar w:fldCharType="begin"/>
      </w:r>
      <w:r>
        <w:instrText xml:space="preserve"> SEQ Figure \* ARABIC </w:instrText>
      </w:r>
      <w:r>
        <w:fldChar w:fldCharType="separate"/>
      </w:r>
      <w:r>
        <w:rPr>
          <w:noProof/>
        </w:rPr>
        <w:t>2</w:t>
      </w:r>
      <w:r>
        <w:fldChar w:fldCharType="end"/>
      </w:r>
      <w:bookmarkEnd w:id="5"/>
      <w:r>
        <w:t xml:space="preserve"> Median NLOS rms delay spread measurements from the InH office measurements in </w:t>
      </w:r>
      <w:r>
        <w:fldChar w:fldCharType="begin"/>
      </w:r>
      <w:r>
        <w:instrText xml:space="preserve"> REF _Ref447198790 \r \h </w:instrText>
      </w:r>
      <w:r>
        <w:fldChar w:fldCharType="separate"/>
      </w:r>
      <w:r>
        <w:t>[1]</w:t>
      </w:r>
      <w:r>
        <w:fldChar w:fldCharType="end"/>
      </w:r>
      <w:r>
        <w:t xml:space="preserve"> and the measurements reported in </w:t>
      </w:r>
      <w:r>
        <w:fldChar w:fldCharType="begin"/>
      </w:r>
      <w:r>
        <w:instrText xml:space="preserve"> REF _Ref447201635 \r \h </w:instrText>
      </w:r>
      <w:r>
        <w:fldChar w:fldCharType="separate"/>
      </w:r>
      <w:r>
        <w:t>[7]</w:t>
      </w:r>
      <w:r>
        <w:fldChar w:fldCharType="end"/>
      </w:r>
      <w:r>
        <w:t xml:space="preserve">. For comparison the proposed frequency dependence from </w:t>
      </w:r>
      <w:r>
        <w:fldChar w:fldCharType="begin"/>
      </w:r>
      <w:r>
        <w:instrText xml:space="preserve"> REF _Ref447198790 \r \h </w:instrText>
      </w:r>
      <w:r>
        <w:fldChar w:fldCharType="separate"/>
      </w:r>
      <w:r>
        <w:t>[1]</w:t>
      </w:r>
      <w:r>
        <w:fldChar w:fldCharType="end"/>
      </w:r>
      <w:r>
        <w:t xml:space="preserve"> and the value from the IMT-Adv </w:t>
      </w:r>
      <w:r>
        <w:fldChar w:fldCharType="begin"/>
      </w:r>
      <w:r>
        <w:instrText xml:space="preserve"> REF _Ref447139674 \r \h </w:instrText>
      </w:r>
      <w:r>
        <w:fldChar w:fldCharType="separate"/>
      </w:r>
      <w:r>
        <w:t>[8]</w:t>
      </w:r>
      <w:r>
        <w:fldChar w:fldCharType="end"/>
      </w:r>
      <w:r>
        <w:t xml:space="preserve"> are shown.</w:t>
      </w:r>
    </w:p>
    <w:p w:rsidR="00651F6F" w:rsidRDefault="00651F6F" w:rsidP="00651F6F">
      <w:pPr>
        <w:rPr>
          <w:lang w:val="en-GB"/>
        </w:rPr>
      </w:pPr>
      <w:r>
        <w:rPr>
          <w:lang w:val="en-GB"/>
        </w:rPr>
        <w:t xml:space="preserve">Neither when looking at the aggregate data from all the measurements nor when looking at individual measurements is there any compelling evidence for a frequency-dependent delay spread. Indeed, only a single measurement (Qualcomm) shows a reducing trend while in another measurement (CMCC&amp;BUPT) there is an increasing trend. Other measurements show almost no frequency dependence. </w:t>
      </w:r>
    </w:p>
    <w:p w:rsidR="00651F6F" w:rsidRDefault="00651F6F" w:rsidP="00651F6F">
      <w:pPr>
        <w:rPr>
          <w:lang w:val="en-GB"/>
        </w:rPr>
      </w:pPr>
    </w:p>
    <w:p w:rsidR="00651F6F" w:rsidRDefault="00651F6F" w:rsidP="00651F6F">
      <w:pPr>
        <w:rPr>
          <w:b/>
        </w:rPr>
      </w:pPr>
      <w:r w:rsidRPr="00E30C40">
        <w:rPr>
          <w:b/>
        </w:rPr>
        <w:t>Observation</w:t>
      </w:r>
      <w:r>
        <w:rPr>
          <w:b/>
        </w:rPr>
        <w:t xml:space="preserve"> 2</w:t>
      </w:r>
      <w:r w:rsidRPr="00E30C40">
        <w:rPr>
          <w:b/>
        </w:rPr>
        <w:t xml:space="preserve">: Frequency-dependence of the delay spread is not obvious from individual </w:t>
      </w:r>
      <w:r>
        <w:rPr>
          <w:b/>
        </w:rPr>
        <w:t xml:space="preserve">InH </w:t>
      </w:r>
      <w:r w:rsidRPr="00E30C40">
        <w:rPr>
          <w:b/>
        </w:rPr>
        <w:t xml:space="preserve">measurements, in particular not from those that meet the comparability requirements proposed in </w:t>
      </w:r>
      <w:r w:rsidRPr="00E30C40">
        <w:rPr>
          <w:b/>
        </w:rPr>
        <w:fldChar w:fldCharType="begin"/>
      </w:r>
      <w:r w:rsidRPr="00E30C40">
        <w:rPr>
          <w:b/>
        </w:rPr>
        <w:instrText xml:space="preserve"> REF _Ref447200128 \r \h </w:instrText>
      </w:r>
      <w:r>
        <w:rPr>
          <w:b/>
        </w:rPr>
        <w:instrText xml:space="preserve"> \* MERGEFORMAT </w:instrText>
      </w:r>
      <w:r w:rsidRPr="00E30C40">
        <w:rPr>
          <w:b/>
        </w:rPr>
      </w:r>
      <w:r w:rsidRPr="00E30C40">
        <w:rPr>
          <w:b/>
        </w:rPr>
        <w:fldChar w:fldCharType="separate"/>
      </w:r>
      <w:r w:rsidRPr="00E30C40">
        <w:rPr>
          <w:b/>
        </w:rPr>
        <w:t>[5]</w:t>
      </w:r>
      <w:r w:rsidRPr="00E30C40">
        <w:rPr>
          <w:b/>
        </w:rPr>
        <w:fldChar w:fldCharType="end"/>
      </w:r>
      <w:r w:rsidRPr="00E30C40">
        <w:rPr>
          <w:b/>
        </w:rPr>
        <w:t>.</w:t>
      </w:r>
    </w:p>
    <w:p w:rsidR="00022E81" w:rsidRPr="00022E81" w:rsidRDefault="00491BB9" w:rsidP="004A619D">
      <w:pPr>
        <w:pStyle w:val="Heading1"/>
        <w:rPr>
          <w:lang w:val="en-GB"/>
        </w:rPr>
      </w:pPr>
      <w:r>
        <w:rPr>
          <w:lang w:val="en-GB"/>
        </w:rPr>
        <w:lastRenderedPageBreak/>
        <w:t>Discussion</w:t>
      </w:r>
    </w:p>
    <w:p w:rsidR="00022E81" w:rsidRDefault="00BA584E" w:rsidP="00022E81">
      <w:pPr>
        <w:pStyle w:val="BodyText"/>
      </w:pPr>
      <w:r>
        <w:t xml:space="preserve">The detailed review of the available measurement data in the previous sections confirms that the NLOS delay spread in the UMi and InH scenarios does not seem to follow a decreasing trend with increasing frequency. The fact that aggregating all the data and doing curve fitting seems to provide such trends can most likely be attributed to the comparability issues that have been highlighted in </w:t>
      </w:r>
      <w:r>
        <w:fldChar w:fldCharType="begin"/>
      </w:r>
      <w:r>
        <w:instrText xml:space="preserve"> REF _Ref447200128 \r \h </w:instrText>
      </w:r>
      <w:r>
        <w:fldChar w:fldCharType="separate"/>
      </w:r>
      <w:r>
        <w:t>[5]</w:t>
      </w:r>
      <w:r>
        <w:fldChar w:fldCharType="end"/>
      </w:r>
      <w:r>
        <w:t xml:space="preserve"> and </w:t>
      </w:r>
      <w:r>
        <w:fldChar w:fldCharType="begin"/>
      </w:r>
      <w:r>
        <w:instrText xml:space="preserve"> REF _Ref446060836 \r \h </w:instrText>
      </w:r>
      <w:r>
        <w:fldChar w:fldCharType="separate"/>
      </w:r>
      <w:r>
        <w:t>[9]</w:t>
      </w:r>
      <w:r>
        <w:fldChar w:fldCharType="end"/>
      </w:r>
      <w:r>
        <w:t xml:space="preserve"> which may introduce frequency-dependent bias in the measurements.</w:t>
      </w:r>
    </w:p>
    <w:p w:rsidR="00FE5799" w:rsidRDefault="00FE5799" w:rsidP="00FE5799">
      <w:pPr>
        <w:pStyle w:val="Heading1"/>
      </w:pPr>
      <w:r>
        <w:t>Conclusion</w:t>
      </w:r>
    </w:p>
    <w:p w:rsidR="00113299" w:rsidRDefault="00792F9C" w:rsidP="00F062F2">
      <w:pPr>
        <w:pStyle w:val="BodyText"/>
      </w:pPr>
      <w:r>
        <w:t xml:space="preserve">The </w:t>
      </w:r>
      <w:r w:rsidR="00BA584E">
        <w:t>analysis</w:t>
      </w:r>
      <w:r>
        <w:t xml:space="preserve"> and discussion provided in this contribution cast further doubt on whether there are indeed any frequency-dependent trends in the LSP parameter values. Therefore, the following is proposed:</w:t>
      </w:r>
    </w:p>
    <w:p w:rsidR="00792F9C" w:rsidRPr="001D0503" w:rsidRDefault="00792F9C" w:rsidP="00792F9C">
      <w:pPr>
        <w:pStyle w:val="BodyText"/>
        <w:rPr>
          <w:b/>
        </w:rPr>
      </w:pPr>
      <w:r w:rsidRPr="001D0503">
        <w:rPr>
          <w:b/>
        </w:rPr>
        <w:t xml:space="preserve">Proposal: </w:t>
      </w:r>
      <w:r w:rsidR="00631688">
        <w:rPr>
          <w:b/>
        </w:rPr>
        <w:t>U</w:t>
      </w:r>
      <w:r w:rsidR="00791C6A">
        <w:rPr>
          <w:b/>
        </w:rPr>
        <w:t xml:space="preserve">se a functional form for frequency dependence </w:t>
      </w:r>
      <w:r w:rsidR="005040AE">
        <w:rPr>
          <w:b/>
        </w:rPr>
        <w:t xml:space="preserve">of LSPs and SSPs </w:t>
      </w:r>
      <w:r w:rsidR="00791C6A">
        <w:rPr>
          <w:b/>
        </w:rPr>
        <w:t xml:space="preserve">containing a constant term and a frequency-dependent term of the following form: </w:t>
      </w:r>
      <m:oMath>
        <m:r>
          <m:rPr>
            <m:sty m:val="bi"/>
          </m:rPr>
          <w:rPr>
            <w:rFonts w:ascii="Cambria Math" w:hAnsi="Cambria Math"/>
          </w:rPr>
          <m:t>LSP=a+</m:t>
        </m:r>
        <m:d>
          <m:dPr>
            <m:begChr m:val="["/>
            <m:endChr m:val="]"/>
            <m:ctrlPr>
              <w:rPr>
                <w:rFonts w:ascii="Cambria Math" w:hAnsi="Cambria Math"/>
                <w:b/>
                <w:i/>
              </w:rPr>
            </m:ctrlPr>
          </m:dPr>
          <m:e>
            <m:r>
              <m:rPr>
                <m:sty m:val="bi"/>
              </m:rPr>
              <w:rPr>
                <w:rFonts w:ascii="Cambria Math" w:hAnsi="Cambria Math"/>
              </w:rPr>
              <m:t>b</m:t>
            </m:r>
          </m:e>
        </m:d>
        <m:r>
          <m:rPr>
            <m:sty m:val="bi"/>
          </m:rPr>
          <w:rPr>
            <w:rFonts w:ascii="Cambria Math" w:hAnsi="Cambria Math"/>
          </w:rPr>
          <m:t>⋅function(f)</m:t>
        </m:r>
      </m:oMath>
      <w:r w:rsidR="001E2D3C">
        <w:rPr>
          <w:b/>
        </w:rPr>
        <w:t>,</w:t>
      </w:r>
      <w:r w:rsidR="00631688">
        <w:rPr>
          <w:b/>
        </w:rPr>
        <w:t xml:space="preserve"> where the strength of the frequency-dependent term is FFS</w:t>
      </w:r>
    </w:p>
    <w:p w:rsidR="004A619D" w:rsidRPr="00510266" w:rsidRDefault="004A619D" w:rsidP="004A619D">
      <w:pPr>
        <w:pStyle w:val="Heading1"/>
      </w:pPr>
      <w:r w:rsidRPr="00510266">
        <w:t>References</w:t>
      </w:r>
    </w:p>
    <w:p w:rsidR="003C16E9" w:rsidRDefault="003C16E9" w:rsidP="003C16E9">
      <w:pPr>
        <w:numPr>
          <w:ilvl w:val="0"/>
          <w:numId w:val="2"/>
        </w:numPr>
        <w:jc w:val="both"/>
        <w:rPr>
          <w:szCs w:val="20"/>
          <w:lang w:val="it-IT"/>
        </w:rPr>
      </w:pPr>
      <w:bookmarkStart w:id="6" w:name="_Ref447198790"/>
      <w:bookmarkStart w:id="7" w:name="_Ref446057119"/>
      <w:r w:rsidRPr="00BA72EC">
        <w:rPr>
          <w:szCs w:val="20"/>
          <w:lang w:val="it-IT"/>
        </w:rPr>
        <w:t>Aalto University, AT&amp;T, BUPT, CMCC, Ericsson, Huawei, Intel, KT Corporation, Nokia, NTT DOCOMO, New York University, Qualcomm, Samsung, University of Bristol, University of Southern California, “5G Channel Model for bands u</w:t>
      </w:r>
      <w:r>
        <w:rPr>
          <w:szCs w:val="20"/>
          <w:lang w:val="it-IT"/>
        </w:rPr>
        <w:t xml:space="preserve">p to 100 GHz (v2.0)”, Mar. 2016. Online: </w:t>
      </w:r>
      <w:hyperlink r:id="rId11" w:history="1">
        <w:r w:rsidRPr="005B25DF">
          <w:rPr>
            <w:rStyle w:val="Hyperlink"/>
            <w:szCs w:val="20"/>
            <w:lang w:val="it-IT"/>
          </w:rPr>
          <w:t>http://www.5gworkshops.com/5GCM.html</w:t>
        </w:r>
      </w:hyperlink>
      <w:r w:rsidRPr="00BA72EC">
        <w:rPr>
          <w:szCs w:val="20"/>
          <w:lang w:val="it-IT"/>
        </w:rPr>
        <w:t>.</w:t>
      </w:r>
      <w:bookmarkEnd w:id="6"/>
    </w:p>
    <w:p w:rsidR="003C16E9" w:rsidRDefault="003C16E9" w:rsidP="003C16E9">
      <w:pPr>
        <w:numPr>
          <w:ilvl w:val="0"/>
          <w:numId w:val="2"/>
        </w:numPr>
        <w:jc w:val="both"/>
        <w:rPr>
          <w:szCs w:val="20"/>
          <w:lang w:val="it-IT"/>
        </w:rPr>
      </w:pPr>
      <w:bookmarkStart w:id="8" w:name="_Ref447199057"/>
      <w:r>
        <w:rPr>
          <w:szCs w:val="20"/>
          <w:lang w:val="it-IT"/>
        </w:rPr>
        <w:t>3GPP R1-161706, “</w:t>
      </w:r>
      <w:r w:rsidRPr="003C16E9">
        <w:rPr>
          <w:szCs w:val="20"/>
          <w:lang w:val="it-IT"/>
        </w:rPr>
        <w:t>Joint proposal on large-scale and small-scale parameters for &gt;6GHz channel model</w:t>
      </w:r>
      <w:r>
        <w:rPr>
          <w:szCs w:val="20"/>
          <w:lang w:val="it-IT"/>
        </w:rPr>
        <w:t xml:space="preserve">”, </w:t>
      </w:r>
      <w:r w:rsidRPr="003C16E9">
        <w:rPr>
          <w:szCs w:val="20"/>
          <w:lang w:val="it-IT"/>
        </w:rPr>
        <w:t>Samsung, AT&amp;T, CMCC, Ericsson, Huawei, HiSilicon, Intel, KT Corporation, Nokia Networks, NTT DOCOMO, Qualcomm, ETRI</w:t>
      </w:r>
      <w:r>
        <w:rPr>
          <w:szCs w:val="20"/>
          <w:lang w:val="it-IT"/>
        </w:rPr>
        <w:t>, March 2016.</w:t>
      </w:r>
      <w:bookmarkEnd w:id="8"/>
    </w:p>
    <w:p w:rsidR="003C16E9" w:rsidRDefault="003C16E9" w:rsidP="003C16E9">
      <w:pPr>
        <w:numPr>
          <w:ilvl w:val="0"/>
          <w:numId w:val="2"/>
        </w:numPr>
        <w:jc w:val="both"/>
        <w:rPr>
          <w:szCs w:val="20"/>
          <w:lang w:val="it-IT"/>
        </w:rPr>
      </w:pPr>
      <w:bookmarkStart w:id="9" w:name="_Ref447199060"/>
      <w:r>
        <w:rPr>
          <w:szCs w:val="20"/>
          <w:lang w:val="it-IT"/>
        </w:rPr>
        <w:t>3GPP R1-161677, “</w:t>
      </w:r>
      <w:r w:rsidRPr="003C16E9">
        <w:rPr>
          <w:szCs w:val="20"/>
          <w:lang w:val="it-IT"/>
        </w:rPr>
        <w:t>Joint proposal on large-scale parameters for &gt;6GHz channel model in indoor hotspot</w:t>
      </w:r>
      <w:r>
        <w:rPr>
          <w:szCs w:val="20"/>
          <w:lang w:val="it-IT"/>
        </w:rPr>
        <w:t xml:space="preserve">”, </w:t>
      </w:r>
      <w:r w:rsidRPr="003C16E9">
        <w:rPr>
          <w:szCs w:val="20"/>
          <w:lang w:val="it-IT"/>
        </w:rPr>
        <w:t>Huawei, HiSilicon, AT&amp;T, CMCC, Ericsson, Intel, KT Corporation, Nokia, NTT DOCOMO, Qualcomm, Samsung</w:t>
      </w:r>
      <w:r>
        <w:rPr>
          <w:szCs w:val="20"/>
          <w:lang w:val="it-IT"/>
        </w:rPr>
        <w:t>, March 2016.</w:t>
      </w:r>
      <w:bookmarkEnd w:id="9"/>
    </w:p>
    <w:p w:rsidR="00545EFB" w:rsidRPr="00BA72EC" w:rsidRDefault="00545EFB" w:rsidP="00545EFB">
      <w:pPr>
        <w:numPr>
          <w:ilvl w:val="0"/>
          <w:numId w:val="2"/>
        </w:numPr>
        <w:jc w:val="both"/>
        <w:rPr>
          <w:szCs w:val="20"/>
          <w:lang w:val="it-IT"/>
        </w:rPr>
      </w:pPr>
      <w:bookmarkStart w:id="10" w:name="_Ref447143493"/>
      <w:r w:rsidRPr="00027425">
        <w:rPr>
          <w:szCs w:val="20"/>
          <w:lang w:val="it-IT"/>
        </w:rPr>
        <w:t>3GPP TR 36.873 “Study on 3D channel model for LTE”, v12.0.0, June 2015.</w:t>
      </w:r>
      <w:bookmarkEnd w:id="10"/>
    </w:p>
    <w:p w:rsidR="00545EFB" w:rsidRDefault="00545EFB" w:rsidP="00545EFB">
      <w:pPr>
        <w:numPr>
          <w:ilvl w:val="0"/>
          <w:numId w:val="2"/>
        </w:numPr>
        <w:jc w:val="both"/>
        <w:rPr>
          <w:szCs w:val="20"/>
          <w:lang w:val="it-IT"/>
        </w:rPr>
      </w:pPr>
      <w:bookmarkStart w:id="11" w:name="_Ref447200128"/>
      <w:r w:rsidRPr="00DD15F1">
        <w:rPr>
          <w:szCs w:val="20"/>
          <w:lang w:val="it-IT"/>
        </w:rPr>
        <w:t>R1-16</w:t>
      </w:r>
      <w:r w:rsidR="00DD15F1" w:rsidRPr="00DD15F1">
        <w:rPr>
          <w:szCs w:val="20"/>
          <w:lang w:val="it-IT"/>
        </w:rPr>
        <w:t>3257</w:t>
      </w:r>
      <w:r>
        <w:rPr>
          <w:szCs w:val="20"/>
          <w:lang w:val="it-IT"/>
        </w:rPr>
        <w:t>, “</w:t>
      </w:r>
      <w:r w:rsidRPr="00545EFB">
        <w:rPr>
          <w:szCs w:val="20"/>
          <w:lang w:val="it-IT"/>
        </w:rPr>
        <w:t>Requirements for Comparability of Radio Channel Measurements</w:t>
      </w:r>
      <w:r>
        <w:rPr>
          <w:szCs w:val="20"/>
          <w:lang w:val="it-IT"/>
        </w:rPr>
        <w:t>”, Ericsson, April 2016.</w:t>
      </w:r>
      <w:bookmarkEnd w:id="11"/>
    </w:p>
    <w:p w:rsidR="00E30C40" w:rsidRDefault="00E30C40" w:rsidP="00E30C40">
      <w:pPr>
        <w:numPr>
          <w:ilvl w:val="0"/>
          <w:numId w:val="2"/>
        </w:numPr>
        <w:jc w:val="both"/>
        <w:rPr>
          <w:szCs w:val="20"/>
          <w:lang w:val="it-IT"/>
        </w:rPr>
      </w:pPr>
      <w:bookmarkStart w:id="12" w:name="_Ref446082284"/>
      <w:r>
        <w:rPr>
          <w:szCs w:val="20"/>
          <w:lang w:val="it-IT"/>
        </w:rPr>
        <w:t>3GPP R1-161691 “Microcell measurements”, Ericsson, March 2016.</w:t>
      </w:r>
      <w:bookmarkEnd w:id="12"/>
    </w:p>
    <w:p w:rsidR="00DD190D" w:rsidRDefault="00DD190D" w:rsidP="00DD190D">
      <w:pPr>
        <w:numPr>
          <w:ilvl w:val="0"/>
          <w:numId w:val="2"/>
        </w:numPr>
        <w:jc w:val="both"/>
        <w:rPr>
          <w:szCs w:val="20"/>
          <w:lang w:val="it-IT"/>
        </w:rPr>
      </w:pPr>
      <w:bookmarkStart w:id="13" w:name="_Ref447201635"/>
      <w:r w:rsidRPr="00DD15F1">
        <w:rPr>
          <w:szCs w:val="20"/>
          <w:lang w:val="it-IT"/>
        </w:rPr>
        <w:t>R1-16</w:t>
      </w:r>
      <w:r w:rsidR="00DD15F1" w:rsidRPr="00DD15F1">
        <w:rPr>
          <w:szCs w:val="20"/>
          <w:lang w:val="it-IT"/>
        </w:rPr>
        <w:t>3252</w:t>
      </w:r>
      <w:r>
        <w:rPr>
          <w:szCs w:val="20"/>
          <w:lang w:val="it-IT"/>
        </w:rPr>
        <w:t>, “</w:t>
      </w:r>
      <w:r>
        <w:t>New InH measurements of the frequency dependence of delay spread</w:t>
      </w:r>
      <w:r>
        <w:rPr>
          <w:szCs w:val="20"/>
          <w:lang w:val="it-IT"/>
        </w:rPr>
        <w:t>”, Ericsson, April 2016.</w:t>
      </w:r>
      <w:bookmarkEnd w:id="13"/>
    </w:p>
    <w:p w:rsidR="00DD190D" w:rsidRDefault="00DD190D" w:rsidP="00E30C40">
      <w:pPr>
        <w:numPr>
          <w:ilvl w:val="0"/>
          <w:numId w:val="2"/>
        </w:numPr>
        <w:jc w:val="both"/>
        <w:rPr>
          <w:szCs w:val="20"/>
          <w:lang w:val="it-IT"/>
        </w:rPr>
      </w:pPr>
      <w:bookmarkStart w:id="14" w:name="_Ref447139674"/>
      <w:r>
        <w:rPr>
          <w:szCs w:val="20"/>
          <w:lang w:val="it-IT"/>
        </w:rPr>
        <w:t>Report ITU-R M.2135-1 “</w:t>
      </w:r>
      <w:r w:rsidRPr="00291EDC">
        <w:rPr>
          <w:szCs w:val="20"/>
          <w:lang w:val="it-IT"/>
        </w:rPr>
        <w:t>Guidelines for evaluation of radio interface technologies for IMT-Advanced</w:t>
      </w:r>
      <w:r>
        <w:rPr>
          <w:szCs w:val="20"/>
          <w:lang w:val="it-IT"/>
        </w:rPr>
        <w:t>”, 2009.</w:t>
      </w:r>
      <w:bookmarkEnd w:id="14"/>
    </w:p>
    <w:p w:rsidR="001E2D3C" w:rsidRPr="00DD15F1" w:rsidRDefault="00113299" w:rsidP="00DD15F1">
      <w:pPr>
        <w:numPr>
          <w:ilvl w:val="0"/>
          <w:numId w:val="2"/>
        </w:numPr>
        <w:jc w:val="both"/>
        <w:rPr>
          <w:szCs w:val="20"/>
          <w:lang w:val="it-IT"/>
        </w:rPr>
      </w:pPr>
      <w:bookmarkStart w:id="15" w:name="_Ref446060836"/>
      <w:bookmarkEnd w:id="7"/>
      <w:r>
        <w:rPr>
          <w:szCs w:val="20"/>
          <w:lang w:val="it-IT"/>
        </w:rPr>
        <w:t>3GPP R1-161683, “</w:t>
      </w:r>
      <w:r w:rsidRPr="00113299">
        <w:rPr>
          <w:szCs w:val="20"/>
          <w:lang w:val="it-IT"/>
        </w:rPr>
        <w:t>Comparability of channel measurements to estimate large scale parameters for channel modelling</w:t>
      </w:r>
      <w:r>
        <w:rPr>
          <w:szCs w:val="20"/>
          <w:lang w:val="it-IT"/>
        </w:rPr>
        <w:t>”, Rohde&amp;Schwarz, Fraunhofer HHI, March 2016.</w:t>
      </w:r>
      <w:bookmarkEnd w:id="15"/>
    </w:p>
    <w:sectPr w:rsidR="001E2D3C" w:rsidRPr="00DD15F1" w:rsidSect="00545EFB">
      <w:headerReference w:type="even" r:id="rId12"/>
      <w:headerReference w:type="default" r:id="rId13"/>
      <w:footerReference w:type="even" r:id="rId14"/>
      <w:footerReference w:type="default" r:id="rId15"/>
      <w:headerReference w:type="first" r:id="rId16"/>
      <w:footerReference w:type="first" r:id="rId17"/>
      <w:pgSz w:w="11906" w:h="16838"/>
      <w:pgMar w:top="1418" w:right="1418" w:bottom="567"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123F" w:rsidRDefault="0030123F">
      <w:r>
        <w:separator/>
      </w:r>
    </w:p>
  </w:endnote>
  <w:endnote w:type="continuationSeparator" w:id="0">
    <w:p w:rsidR="0030123F" w:rsidRDefault="00301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E0F" w:rsidRDefault="00F64E0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E0F" w:rsidRDefault="00F64E0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E0F" w:rsidRDefault="00F64E0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123F" w:rsidRDefault="0030123F">
      <w:r>
        <w:separator/>
      </w:r>
    </w:p>
  </w:footnote>
  <w:footnote w:type="continuationSeparator" w:id="0">
    <w:p w:rsidR="0030123F" w:rsidRDefault="003012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E0F" w:rsidRDefault="00F64E0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4F57" w:rsidRDefault="0030123F" w:rsidP="00A61E6C">
    <w:pPr>
      <w:pStyle w:val="Header"/>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E0F" w:rsidRDefault="00F64E0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DF36D960"/>
    <w:lvl w:ilvl="0">
      <w:start w:val="1"/>
      <w:numFmt w:val="decimal"/>
      <w:lvlText w:val="%1"/>
      <w:lvlJc w:val="left"/>
      <w:pPr>
        <w:tabs>
          <w:tab w:val="num" w:pos="0"/>
        </w:tabs>
        <w:ind w:left="2551" w:hanging="1304"/>
      </w:pPr>
      <w:rPr>
        <w:strike w:val="0"/>
        <w:dstrike w:val="0"/>
        <w:u w:val="none"/>
        <w:effect w:val="none"/>
      </w:rPr>
    </w:lvl>
    <w:lvl w:ilvl="1">
      <w:start w:val="1"/>
      <w:numFmt w:val="decimal"/>
      <w:lvlText w:val="%1.%2"/>
      <w:lvlJc w:val="left"/>
      <w:pPr>
        <w:tabs>
          <w:tab w:val="num" w:pos="738"/>
        </w:tabs>
        <w:ind w:left="3289" w:hanging="1304"/>
      </w:pPr>
      <w:rPr>
        <w:strike w:val="0"/>
        <w:dstrike w:val="0"/>
        <w:u w:val="none"/>
        <w:effect w:val="none"/>
        <w:lang w:val="en-US"/>
      </w:rPr>
    </w:lvl>
    <w:lvl w:ilvl="2">
      <w:start w:val="1"/>
      <w:numFmt w:val="decimal"/>
      <w:lvlText w:val="%1.%2.%3"/>
      <w:lvlJc w:val="left"/>
      <w:pPr>
        <w:tabs>
          <w:tab w:val="num" w:pos="13"/>
        </w:tabs>
        <w:ind w:left="2564" w:hanging="1304"/>
      </w:pPr>
      <w:rPr>
        <w:strike w:val="0"/>
        <w:dstrike w:val="0"/>
        <w:u w:val="none"/>
        <w:effect w:val="none"/>
      </w:rPr>
    </w:lvl>
    <w:lvl w:ilvl="3">
      <w:start w:val="1"/>
      <w:numFmt w:val="decimal"/>
      <w:lvlText w:val="%1.%2.%3.%4"/>
      <w:lvlJc w:val="left"/>
      <w:pPr>
        <w:tabs>
          <w:tab w:val="num" w:pos="0"/>
        </w:tabs>
        <w:ind w:left="2551" w:hanging="1304"/>
      </w:pPr>
      <w:rPr>
        <w:strike w:val="0"/>
        <w:dstrike w:val="0"/>
        <w:u w:val="none"/>
        <w:effect w:val="none"/>
        <w:lang w:val="en-GB"/>
      </w:rPr>
    </w:lvl>
    <w:lvl w:ilvl="4">
      <w:start w:val="1"/>
      <w:numFmt w:val="decimal"/>
      <w:lvlText w:val="%1.%2.%3.%4.%5"/>
      <w:lvlJc w:val="left"/>
      <w:pPr>
        <w:tabs>
          <w:tab w:val="num" w:pos="0"/>
        </w:tabs>
        <w:ind w:left="2552" w:hanging="1248"/>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
    <w:nsid w:val="03C142EA"/>
    <w:multiLevelType w:val="hybridMultilevel"/>
    <w:tmpl w:val="BCD6D3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nsid w:val="4CE82E97"/>
    <w:multiLevelType w:val="hybridMultilevel"/>
    <w:tmpl w:val="C122BAC2"/>
    <w:lvl w:ilvl="0" w:tplc="71F0A20A">
      <w:start w:val="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5"/>
  </w:num>
  <w:num w:numId="2">
    <w:abstractNumId w:val="3"/>
  </w:num>
  <w:num w:numId="3">
    <w:abstractNumId w:val="2"/>
  </w:num>
  <w:num w:numId="4">
    <w:abstractNumId w:val="4"/>
  </w:num>
  <w:num w:numId="5">
    <w:abstractNumId w:val="1"/>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179AE"/>
    <w:rsid w:val="00022E81"/>
    <w:rsid w:val="000318DB"/>
    <w:rsid w:val="000B4123"/>
    <w:rsid w:val="00113299"/>
    <w:rsid w:val="001639B5"/>
    <w:rsid w:val="00183BA2"/>
    <w:rsid w:val="001B6B68"/>
    <w:rsid w:val="001B7BA4"/>
    <w:rsid w:val="001D0503"/>
    <w:rsid w:val="001E2D3C"/>
    <w:rsid w:val="0026076E"/>
    <w:rsid w:val="002A7F3A"/>
    <w:rsid w:val="0030123F"/>
    <w:rsid w:val="003C16E9"/>
    <w:rsid w:val="003D5908"/>
    <w:rsid w:val="003F77D0"/>
    <w:rsid w:val="00481DE8"/>
    <w:rsid w:val="00491BB9"/>
    <w:rsid w:val="004A3F44"/>
    <w:rsid w:val="004A619D"/>
    <w:rsid w:val="004E0AB2"/>
    <w:rsid w:val="005040AE"/>
    <w:rsid w:val="00545EFB"/>
    <w:rsid w:val="005C1A27"/>
    <w:rsid w:val="005F758E"/>
    <w:rsid w:val="00631688"/>
    <w:rsid w:val="00646918"/>
    <w:rsid w:val="00651F6F"/>
    <w:rsid w:val="00695FF4"/>
    <w:rsid w:val="006A286A"/>
    <w:rsid w:val="007110B7"/>
    <w:rsid w:val="0072379A"/>
    <w:rsid w:val="00791C6A"/>
    <w:rsid w:val="00792F9C"/>
    <w:rsid w:val="007B3530"/>
    <w:rsid w:val="00872E9C"/>
    <w:rsid w:val="00983A13"/>
    <w:rsid w:val="00A55C73"/>
    <w:rsid w:val="00A84DD1"/>
    <w:rsid w:val="00B368D9"/>
    <w:rsid w:val="00B66CA0"/>
    <w:rsid w:val="00BA584E"/>
    <w:rsid w:val="00C1560A"/>
    <w:rsid w:val="00C46A41"/>
    <w:rsid w:val="00C82C6E"/>
    <w:rsid w:val="00CB1AED"/>
    <w:rsid w:val="00DD15F1"/>
    <w:rsid w:val="00DD190D"/>
    <w:rsid w:val="00E232CF"/>
    <w:rsid w:val="00E2356E"/>
    <w:rsid w:val="00E30C40"/>
    <w:rsid w:val="00E747B0"/>
    <w:rsid w:val="00F002CD"/>
    <w:rsid w:val="00F062F2"/>
    <w:rsid w:val="00F127D5"/>
    <w:rsid w:val="00F307F4"/>
    <w:rsid w:val="00F61907"/>
    <w:rsid w:val="00F64E0F"/>
    <w:rsid w:val="00FE579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Alt+1,Alt+11,Alt+12,Alt+13"/>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character" w:styleId="CommentReference">
    <w:name w:val="annotation reference"/>
    <w:basedOn w:val="DefaultParagraphFont"/>
    <w:uiPriority w:val="99"/>
    <w:semiHidden/>
    <w:unhideWhenUsed/>
    <w:rsid w:val="00F062F2"/>
    <w:rPr>
      <w:sz w:val="16"/>
      <w:szCs w:val="16"/>
    </w:rPr>
  </w:style>
  <w:style w:type="paragraph" w:styleId="CommentText">
    <w:name w:val="annotation text"/>
    <w:basedOn w:val="Normal"/>
    <w:link w:val="CommentTextChar"/>
    <w:uiPriority w:val="99"/>
    <w:semiHidden/>
    <w:unhideWhenUsed/>
    <w:rsid w:val="00F062F2"/>
    <w:rPr>
      <w:szCs w:val="20"/>
    </w:rPr>
  </w:style>
  <w:style w:type="character" w:customStyle="1" w:styleId="CommentTextChar">
    <w:name w:val="Comment Text Char"/>
    <w:basedOn w:val="DefaultParagraphFont"/>
    <w:link w:val="CommentText"/>
    <w:uiPriority w:val="99"/>
    <w:semiHidden/>
    <w:rsid w:val="00F062F2"/>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F062F2"/>
    <w:rPr>
      <w:b/>
      <w:bCs/>
    </w:rPr>
  </w:style>
  <w:style w:type="character" w:customStyle="1" w:styleId="CommentSubjectChar">
    <w:name w:val="Comment Subject Char"/>
    <w:basedOn w:val="CommentTextChar"/>
    <w:link w:val="CommentSubject"/>
    <w:uiPriority w:val="99"/>
    <w:semiHidden/>
    <w:rsid w:val="00F062F2"/>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F062F2"/>
    <w:rPr>
      <w:rFonts w:ascii="Tahoma" w:hAnsi="Tahoma" w:cs="Tahoma"/>
      <w:sz w:val="16"/>
      <w:szCs w:val="16"/>
    </w:rPr>
  </w:style>
  <w:style w:type="character" w:customStyle="1" w:styleId="BalloonTextChar">
    <w:name w:val="Balloon Text Char"/>
    <w:basedOn w:val="DefaultParagraphFont"/>
    <w:link w:val="BalloonText"/>
    <w:uiPriority w:val="99"/>
    <w:semiHidden/>
    <w:rsid w:val="00F062F2"/>
    <w:rPr>
      <w:rFonts w:ascii="Tahoma" w:eastAsia="Times New Roman" w:hAnsi="Tahoma" w:cs="Tahoma"/>
      <w:sz w:val="16"/>
      <w:szCs w:val="16"/>
      <w:lang w:val="en-US"/>
    </w:rPr>
  </w:style>
  <w:style w:type="paragraph" w:styleId="Footer">
    <w:name w:val="footer"/>
    <w:basedOn w:val="Normal"/>
    <w:link w:val="FooterChar"/>
    <w:uiPriority w:val="99"/>
    <w:unhideWhenUsed/>
    <w:rsid w:val="00F64E0F"/>
    <w:pPr>
      <w:tabs>
        <w:tab w:val="center" w:pos="4536"/>
        <w:tab w:val="right" w:pos="9072"/>
      </w:tabs>
    </w:pPr>
  </w:style>
  <w:style w:type="character" w:customStyle="1" w:styleId="FooterChar">
    <w:name w:val="Footer Char"/>
    <w:basedOn w:val="DefaultParagraphFont"/>
    <w:link w:val="Footer"/>
    <w:uiPriority w:val="99"/>
    <w:rsid w:val="00F64E0F"/>
    <w:rPr>
      <w:rFonts w:ascii="Times New Roman" w:eastAsia="Times New Roman" w:hAnsi="Times New Roman" w:cs="Times New Roman"/>
      <w:sz w:val="20"/>
      <w:szCs w:val="24"/>
      <w:lang w:val="en-US"/>
    </w:rPr>
  </w:style>
  <w:style w:type="paragraph" w:styleId="Caption">
    <w:name w:val="caption"/>
    <w:basedOn w:val="Normal"/>
    <w:next w:val="Normal"/>
    <w:uiPriority w:val="35"/>
    <w:unhideWhenUsed/>
    <w:qFormat/>
    <w:rsid w:val="00B66CA0"/>
    <w:pPr>
      <w:spacing w:after="200"/>
    </w:pPr>
    <w:rPr>
      <w:b/>
      <w:bCs/>
      <w:color w:val="4F81BD" w:themeColor="accent1"/>
      <w:sz w:val="18"/>
      <w:szCs w:val="18"/>
    </w:rPr>
  </w:style>
  <w:style w:type="paragraph" w:styleId="NormalWeb">
    <w:name w:val="Normal (Web)"/>
    <w:basedOn w:val="Normal"/>
    <w:uiPriority w:val="99"/>
    <w:unhideWhenUsed/>
    <w:rsid w:val="00B66CA0"/>
    <w:pPr>
      <w:spacing w:before="100" w:beforeAutospacing="1" w:after="100" w:afterAutospacing="1"/>
    </w:pPr>
    <w:rPr>
      <w:rFonts w:eastAsiaTheme="minorEastAsia"/>
      <w:sz w:val="24"/>
      <w:lang w:val="en-GB" w:eastAsia="en-GB"/>
    </w:rPr>
  </w:style>
  <w:style w:type="paragraph" w:styleId="FootnoteText">
    <w:name w:val="footnote text"/>
    <w:basedOn w:val="Normal"/>
    <w:link w:val="FootnoteTextChar"/>
    <w:semiHidden/>
    <w:rsid w:val="00F127D5"/>
    <w:pPr>
      <w:ind w:firstLine="202"/>
      <w:jc w:val="both"/>
    </w:pPr>
    <w:rPr>
      <w:sz w:val="16"/>
      <w:szCs w:val="16"/>
    </w:rPr>
  </w:style>
  <w:style w:type="character" w:customStyle="1" w:styleId="FootnoteTextChar">
    <w:name w:val="Footnote Text Char"/>
    <w:basedOn w:val="DefaultParagraphFont"/>
    <w:link w:val="FootnoteText"/>
    <w:semiHidden/>
    <w:rsid w:val="00F127D5"/>
    <w:rPr>
      <w:rFonts w:ascii="Times New Roman" w:eastAsia="Times New Roman" w:hAnsi="Times New Roman" w:cs="Times New Roman"/>
      <w:sz w:val="16"/>
      <w:szCs w:val="16"/>
      <w:lang w:val="en-US"/>
    </w:rPr>
  </w:style>
  <w:style w:type="character" w:styleId="PlaceholderText">
    <w:name w:val="Placeholder Text"/>
    <w:basedOn w:val="DefaultParagraphFont"/>
    <w:uiPriority w:val="99"/>
    <w:semiHidden/>
    <w:rsid w:val="00791C6A"/>
    <w:rPr>
      <w:color w:val="808080"/>
    </w:rPr>
  </w:style>
  <w:style w:type="character" w:styleId="Hyperlink">
    <w:name w:val="Hyperlink"/>
    <w:basedOn w:val="DefaultParagraphFont"/>
    <w:uiPriority w:val="99"/>
    <w:unhideWhenUsed/>
    <w:rsid w:val="003C16E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Alt+1,Alt+11,Alt+12,Alt+13"/>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character" w:styleId="CommentReference">
    <w:name w:val="annotation reference"/>
    <w:basedOn w:val="DefaultParagraphFont"/>
    <w:uiPriority w:val="99"/>
    <w:semiHidden/>
    <w:unhideWhenUsed/>
    <w:rsid w:val="00F062F2"/>
    <w:rPr>
      <w:sz w:val="16"/>
      <w:szCs w:val="16"/>
    </w:rPr>
  </w:style>
  <w:style w:type="paragraph" w:styleId="CommentText">
    <w:name w:val="annotation text"/>
    <w:basedOn w:val="Normal"/>
    <w:link w:val="CommentTextChar"/>
    <w:uiPriority w:val="99"/>
    <w:semiHidden/>
    <w:unhideWhenUsed/>
    <w:rsid w:val="00F062F2"/>
    <w:rPr>
      <w:szCs w:val="20"/>
    </w:rPr>
  </w:style>
  <w:style w:type="character" w:customStyle="1" w:styleId="CommentTextChar">
    <w:name w:val="Comment Text Char"/>
    <w:basedOn w:val="DefaultParagraphFont"/>
    <w:link w:val="CommentText"/>
    <w:uiPriority w:val="99"/>
    <w:semiHidden/>
    <w:rsid w:val="00F062F2"/>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F062F2"/>
    <w:rPr>
      <w:b/>
      <w:bCs/>
    </w:rPr>
  </w:style>
  <w:style w:type="character" w:customStyle="1" w:styleId="CommentSubjectChar">
    <w:name w:val="Comment Subject Char"/>
    <w:basedOn w:val="CommentTextChar"/>
    <w:link w:val="CommentSubject"/>
    <w:uiPriority w:val="99"/>
    <w:semiHidden/>
    <w:rsid w:val="00F062F2"/>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F062F2"/>
    <w:rPr>
      <w:rFonts w:ascii="Tahoma" w:hAnsi="Tahoma" w:cs="Tahoma"/>
      <w:sz w:val="16"/>
      <w:szCs w:val="16"/>
    </w:rPr>
  </w:style>
  <w:style w:type="character" w:customStyle="1" w:styleId="BalloonTextChar">
    <w:name w:val="Balloon Text Char"/>
    <w:basedOn w:val="DefaultParagraphFont"/>
    <w:link w:val="BalloonText"/>
    <w:uiPriority w:val="99"/>
    <w:semiHidden/>
    <w:rsid w:val="00F062F2"/>
    <w:rPr>
      <w:rFonts w:ascii="Tahoma" w:eastAsia="Times New Roman" w:hAnsi="Tahoma" w:cs="Tahoma"/>
      <w:sz w:val="16"/>
      <w:szCs w:val="16"/>
      <w:lang w:val="en-US"/>
    </w:rPr>
  </w:style>
  <w:style w:type="paragraph" w:styleId="Footer">
    <w:name w:val="footer"/>
    <w:basedOn w:val="Normal"/>
    <w:link w:val="FooterChar"/>
    <w:uiPriority w:val="99"/>
    <w:unhideWhenUsed/>
    <w:rsid w:val="00F64E0F"/>
    <w:pPr>
      <w:tabs>
        <w:tab w:val="center" w:pos="4536"/>
        <w:tab w:val="right" w:pos="9072"/>
      </w:tabs>
    </w:pPr>
  </w:style>
  <w:style w:type="character" w:customStyle="1" w:styleId="FooterChar">
    <w:name w:val="Footer Char"/>
    <w:basedOn w:val="DefaultParagraphFont"/>
    <w:link w:val="Footer"/>
    <w:uiPriority w:val="99"/>
    <w:rsid w:val="00F64E0F"/>
    <w:rPr>
      <w:rFonts w:ascii="Times New Roman" w:eastAsia="Times New Roman" w:hAnsi="Times New Roman" w:cs="Times New Roman"/>
      <w:sz w:val="20"/>
      <w:szCs w:val="24"/>
      <w:lang w:val="en-US"/>
    </w:rPr>
  </w:style>
  <w:style w:type="paragraph" w:styleId="Caption">
    <w:name w:val="caption"/>
    <w:basedOn w:val="Normal"/>
    <w:next w:val="Normal"/>
    <w:uiPriority w:val="35"/>
    <w:unhideWhenUsed/>
    <w:qFormat/>
    <w:rsid w:val="00B66CA0"/>
    <w:pPr>
      <w:spacing w:after="200"/>
    </w:pPr>
    <w:rPr>
      <w:b/>
      <w:bCs/>
      <w:color w:val="4F81BD" w:themeColor="accent1"/>
      <w:sz w:val="18"/>
      <w:szCs w:val="18"/>
    </w:rPr>
  </w:style>
  <w:style w:type="paragraph" w:styleId="NormalWeb">
    <w:name w:val="Normal (Web)"/>
    <w:basedOn w:val="Normal"/>
    <w:uiPriority w:val="99"/>
    <w:unhideWhenUsed/>
    <w:rsid w:val="00B66CA0"/>
    <w:pPr>
      <w:spacing w:before="100" w:beforeAutospacing="1" w:after="100" w:afterAutospacing="1"/>
    </w:pPr>
    <w:rPr>
      <w:rFonts w:eastAsiaTheme="minorEastAsia"/>
      <w:sz w:val="24"/>
      <w:lang w:val="en-GB" w:eastAsia="en-GB"/>
    </w:rPr>
  </w:style>
  <w:style w:type="paragraph" w:styleId="FootnoteText">
    <w:name w:val="footnote text"/>
    <w:basedOn w:val="Normal"/>
    <w:link w:val="FootnoteTextChar"/>
    <w:semiHidden/>
    <w:rsid w:val="00F127D5"/>
    <w:pPr>
      <w:ind w:firstLine="202"/>
      <w:jc w:val="both"/>
    </w:pPr>
    <w:rPr>
      <w:sz w:val="16"/>
      <w:szCs w:val="16"/>
    </w:rPr>
  </w:style>
  <w:style w:type="character" w:customStyle="1" w:styleId="FootnoteTextChar">
    <w:name w:val="Footnote Text Char"/>
    <w:basedOn w:val="DefaultParagraphFont"/>
    <w:link w:val="FootnoteText"/>
    <w:semiHidden/>
    <w:rsid w:val="00F127D5"/>
    <w:rPr>
      <w:rFonts w:ascii="Times New Roman" w:eastAsia="Times New Roman" w:hAnsi="Times New Roman" w:cs="Times New Roman"/>
      <w:sz w:val="16"/>
      <w:szCs w:val="16"/>
      <w:lang w:val="en-US"/>
    </w:rPr>
  </w:style>
  <w:style w:type="character" w:styleId="PlaceholderText">
    <w:name w:val="Placeholder Text"/>
    <w:basedOn w:val="DefaultParagraphFont"/>
    <w:uiPriority w:val="99"/>
    <w:semiHidden/>
    <w:rsid w:val="00791C6A"/>
    <w:rPr>
      <w:color w:val="808080"/>
    </w:rPr>
  </w:style>
  <w:style w:type="character" w:styleId="Hyperlink">
    <w:name w:val="Hyperlink"/>
    <w:basedOn w:val="DefaultParagraphFont"/>
    <w:uiPriority w:val="99"/>
    <w:unhideWhenUsed/>
    <w:rsid w:val="003C16E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932053">
      <w:bodyDiv w:val="1"/>
      <w:marLeft w:val="0"/>
      <w:marRight w:val="0"/>
      <w:marTop w:val="0"/>
      <w:marBottom w:val="0"/>
      <w:divBdr>
        <w:top w:val="none" w:sz="0" w:space="0" w:color="auto"/>
        <w:left w:val="none" w:sz="0" w:space="0" w:color="auto"/>
        <w:bottom w:val="none" w:sz="0" w:space="0" w:color="auto"/>
        <w:right w:val="none" w:sz="0" w:space="0" w:color="auto"/>
      </w:divBdr>
    </w:div>
    <w:div w:id="260796458">
      <w:bodyDiv w:val="1"/>
      <w:marLeft w:val="0"/>
      <w:marRight w:val="0"/>
      <w:marTop w:val="0"/>
      <w:marBottom w:val="0"/>
      <w:divBdr>
        <w:top w:val="none" w:sz="0" w:space="0" w:color="auto"/>
        <w:left w:val="none" w:sz="0" w:space="0" w:color="auto"/>
        <w:bottom w:val="none" w:sz="0" w:space="0" w:color="auto"/>
        <w:right w:val="none" w:sz="0" w:space="0" w:color="auto"/>
      </w:divBdr>
    </w:div>
    <w:div w:id="264191024">
      <w:bodyDiv w:val="1"/>
      <w:marLeft w:val="0"/>
      <w:marRight w:val="0"/>
      <w:marTop w:val="0"/>
      <w:marBottom w:val="0"/>
      <w:divBdr>
        <w:top w:val="none" w:sz="0" w:space="0" w:color="auto"/>
        <w:left w:val="none" w:sz="0" w:space="0" w:color="auto"/>
        <w:bottom w:val="none" w:sz="0" w:space="0" w:color="auto"/>
        <w:right w:val="none" w:sz="0" w:space="0" w:color="auto"/>
      </w:divBdr>
    </w:div>
    <w:div w:id="1794441561">
      <w:bodyDiv w:val="1"/>
      <w:marLeft w:val="0"/>
      <w:marRight w:val="0"/>
      <w:marTop w:val="0"/>
      <w:marBottom w:val="0"/>
      <w:divBdr>
        <w:top w:val="none" w:sz="0" w:space="0" w:color="auto"/>
        <w:left w:val="none" w:sz="0" w:space="0" w:color="auto"/>
        <w:bottom w:val="none" w:sz="0" w:space="0" w:color="auto"/>
        <w:right w:val="none" w:sz="0" w:space="0" w:color="auto"/>
      </w:divBdr>
    </w:div>
    <w:div w:id="1811556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5gworkshops.com/5GCM.html"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A03D9C-3F0B-4F2B-B271-6249484C7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3</Pages>
  <Words>1127</Words>
  <Characters>5987</Characters>
  <Application>Microsoft Office Word</Application>
  <DocSecurity>0</DocSecurity>
  <Lines>299</Lines>
  <Paragraphs>229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Parkvall</dc:creator>
  <cp:lastModifiedBy>Henrik Asplund</cp:lastModifiedBy>
  <cp:revision>6</cp:revision>
  <dcterms:created xsi:type="dcterms:W3CDTF">2016-03-31T12:41:00Z</dcterms:created>
  <dcterms:modified xsi:type="dcterms:W3CDTF">2016-04-01T12:35:00Z</dcterms:modified>
</cp:coreProperties>
</file>